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2018年度新疆喀什地区英吉沙县乌恰镇人民政府部门决算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7、推进依法行政，严格依法履行职责，为农民提供更多的公共服务，促进社会事业发展。综合发挥人民调解、行政调解和司法调解的作用，加强农村社会治安综合治理工作，及时化解农村社会矛盾，确保社会</w:t>
      </w:r>
      <w:r>
        <w:rPr>
          <w:rFonts w:hint="eastAsia" w:ascii="仿宋_GB2312" w:eastAsia="仿宋_GB2312"/>
          <w:sz w:val="32"/>
          <w:szCs w:val="32"/>
          <w:lang w:eastAsia="zh-CN"/>
        </w:rPr>
        <w:t>和谐</w:t>
      </w:r>
      <w:r>
        <w:rPr>
          <w:rFonts w:hint="eastAsia" w:ascii="仿宋_GB2312" w:eastAsia="仿宋_GB2312"/>
          <w:sz w:val="32"/>
          <w:szCs w:val="32"/>
        </w:rPr>
        <w:t>。指导村民自治，推动农村社区建设，促进社会组织健康发展，增强社会自治功能。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新疆喀什地区英吉沙县乌恰镇人民政府</w:t>
      </w:r>
      <w:r>
        <w:rPr>
          <w:rFonts w:hint="eastAsia" w:ascii="仿宋_GB2312" w:eastAsia="仿宋_GB2312"/>
          <w:sz w:val="32"/>
          <w:szCs w:val="32"/>
        </w:rPr>
        <w:t>部门决算包括：</w:t>
      </w:r>
      <w:r>
        <w:rPr>
          <w:rFonts w:ascii="仿宋_GB2312" w:eastAsia="仿宋_GB2312"/>
          <w:sz w:val="32"/>
          <w:szCs w:val="32"/>
        </w:rPr>
        <w:t>新疆喀什地区英吉沙县乌恰镇人民政府</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新疆喀什地区英吉沙县乌恰镇人民政府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新疆喀什地区英吉沙县乌恰镇人民政府(本级</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7,600.87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，与上年相比，增加3,454.23万元，增长83.3%，增减变化主要原因是：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9,978.87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，与上年相比，增加8,210.23万元，增长464.21%，增减变化主要原因是：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，与上年相比，减少2,378万元，下降100%，增减变化主要原因是：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7,600.87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6,908.76</w:t>
      </w:r>
      <w:r>
        <w:rPr>
          <w:rFonts w:hint="eastAsia" w:ascii="仿宋_GB2312" w:eastAsia="仿宋_GB2312"/>
          <w:color w:val="000000" w:themeColor="text1"/>
          <w:sz w:val="32"/>
          <w:szCs w:val="32"/>
        </w:rPr>
        <w:t>万元，占</w:t>
      </w:r>
      <w:r>
        <w:rPr>
          <w:rFonts w:hint="eastAsia" w:ascii="仿宋_GB2312" w:eastAsia="仿宋_GB2312"/>
          <w:sz w:val="32"/>
          <w:szCs w:val="32"/>
        </w:rPr>
        <w:t>90.89%</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692.11</w:t>
      </w:r>
      <w:r>
        <w:rPr>
          <w:rFonts w:hint="eastAsia" w:ascii="仿宋_GB2312" w:eastAsia="仿宋_GB2312"/>
          <w:color w:val="000000" w:themeColor="text1"/>
          <w:sz w:val="32"/>
          <w:szCs w:val="32"/>
        </w:rPr>
        <w:t>万元，占</w:t>
      </w:r>
      <w:r>
        <w:rPr>
          <w:rFonts w:hint="eastAsia" w:ascii="仿宋_GB2312" w:eastAsia="仿宋_GB2312"/>
          <w:sz w:val="32"/>
          <w:szCs w:val="32"/>
        </w:rPr>
        <w:t>9.11%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况：本年收入年初预算数1,677.26万元</w:t>
      </w:r>
      <w:r>
        <w:rPr>
          <w:rFonts w:hint="eastAsia" w:ascii="仿宋_GB2312" w:eastAsia="仿宋_GB2312"/>
          <w:sz w:val="32"/>
          <w:szCs w:val="32"/>
        </w:rPr>
        <w:t>，决算数7,600.87万元</w:t>
      </w:r>
      <w:r>
        <w:rPr>
          <w:rFonts w:ascii="仿宋_GB2312" w:eastAsia="仿宋_GB2312"/>
          <w:sz w:val="32"/>
          <w:szCs w:val="32"/>
        </w:rPr>
        <w:t>，预决算差异率353.17%，差异主要原因</w:t>
      </w:r>
      <w:r>
        <w:rPr>
          <w:rFonts w:hint="eastAsia" w:ascii="仿宋_GB2312" w:eastAsia="仿宋_GB2312"/>
          <w:sz w:val="32"/>
          <w:szCs w:val="32"/>
          <w:lang w:eastAsia="zh-CN"/>
        </w:rPr>
        <w:t>是</w:t>
      </w:r>
      <w:r>
        <w:rPr>
          <w:rFonts w:ascii="仿宋_GB2312" w:eastAsia="仿宋_GB2312"/>
          <w:sz w:val="32"/>
          <w:szCs w:val="32"/>
        </w:rPr>
        <w:t>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9,978.87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2,532.1</w:t>
      </w:r>
      <w:r>
        <w:rPr>
          <w:rFonts w:hint="eastAsia" w:ascii="仿宋_GB2312" w:eastAsia="仿宋_GB2312"/>
          <w:color w:val="000000" w:themeColor="text1"/>
          <w:sz w:val="32"/>
          <w:szCs w:val="32"/>
        </w:rPr>
        <w:t>万元，占</w:t>
      </w:r>
      <w:r>
        <w:rPr>
          <w:rFonts w:hint="eastAsia" w:ascii="仿宋_GB2312" w:eastAsia="仿宋_GB2312"/>
          <w:sz w:val="32"/>
          <w:szCs w:val="32"/>
        </w:rPr>
        <w:t>25.37%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7,446.76</w:t>
      </w:r>
      <w:r>
        <w:rPr>
          <w:rFonts w:hint="eastAsia" w:ascii="仿宋_GB2312" w:eastAsia="仿宋_GB2312"/>
          <w:color w:val="000000" w:themeColor="text1"/>
          <w:sz w:val="32"/>
          <w:szCs w:val="32"/>
        </w:rPr>
        <w:t>万元，占</w:t>
      </w:r>
      <w:r>
        <w:rPr>
          <w:rFonts w:hint="eastAsia" w:ascii="仿宋_GB2312" w:eastAsia="仿宋_GB2312"/>
          <w:sz w:val="32"/>
          <w:szCs w:val="32"/>
        </w:rPr>
        <w:t>74.63%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与年初预算数相比情况：本年支出年初预算数1,677.26万元，</w:t>
      </w:r>
      <w:r>
        <w:rPr>
          <w:rFonts w:hint="eastAsia" w:ascii="仿宋_GB2312" w:eastAsia="仿宋_GB2312"/>
          <w:sz w:val="32"/>
          <w:szCs w:val="32"/>
        </w:rPr>
        <w:t>决算数9,978.87万元</w:t>
      </w:r>
      <w:r>
        <w:rPr>
          <w:rFonts w:ascii="仿宋_GB2312" w:eastAsia="仿宋_GB2312"/>
          <w:sz w:val="32"/>
          <w:szCs w:val="32"/>
        </w:rPr>
        <w:t>，预决算差异率494.95%，差异主要原因是由于惠农补贴项目增多，补贴支出增加，预算未安排。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6,908.76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，与上年相比，增加5,140.12万元，增长290.63%，增减变化的主要原因是：由于惠农补贴项目增多，补贴收入增加。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6,908.76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，与上年相比，增加5,140.12万元，增长290.63%，增减变化的主要原因是：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2,273.48</w:t>
      </w:r>
      <w:r>
        <w:rPr>
          <w:rFonts w:hint="eastAsia" w:ascii="仿宋_GB2312" w:eastAsia="仿宋_GB2312"/>
          <w:color w:val="000000" w:themeColor="text1"/>
          <w:sz w:val="32"/>
          <w:szCs w:val="32"/>
        </w:rPr>
        <w:t>万元，项目支出</w:t>
      </w:r>
      <w:r>
        <w:rPr>
          <w:rFonts w:hint="eastAsia" w:ascii="仿宋_GB2312" w:eastAsia="仿宋_GB2312"/>
          <w:sz w:val="32"/>
          <w:szCs w:val="32"/>
        </w:rPr>
        <w:t>4,635.28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1,677.26</w:t>
      </w:r>
      <w:r>
        <w:rPr>
          <w:rFonts w:hint="eastAsia" w:ascii="仿宋_GB2312" w:eastAsia="仿宋_GB2312"/>
          <w:color w:val="000000" w:themeColor="text1"/>
          <w:sz w:val="32"/>
          <w:szCs w:val="32"/>
        </w:rPr>
        <w:t>万元，决算数</w:t>
      </w:r>
      <w:r>
        <w:rPr>
          <w:rFonts w:hint="eastAsia" w:ascii="仿宋_GB2312" w:eastAsia="仿宋_GB2312"/>
          <w:sz w:val="32"/>
          <w:szCs w:val="32"/>
        </w:rPr>
        <w:t>6,908.76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，预决算差异率311.91%，差异主要原因是由于惠农补贴项目增多，补贴收入增加，预算未安排。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1,677.26</w:t>
      </w:r>
      <w:r>
        <w:rPr>
          <w:rFonts w:hint="eastAsia" w:ascii="仿宋_GB2312" w:eastAsia="仿宋_GB2312"/>
          <w:color w:val="000000" w:themeColor="text1"/>
          <w:sz w:val="32"/>
          <w:szCs w:val="32"/>
        </w:rPr>
        <w:t>万元，决算数</w:t>
      </w:r>
      <w:r>
        <w:rPr>
          <w:rFonts w:hint="eastAsia" w:ascii="仿宋_GB2312" w:eastAsia="仿宋_GB2312"/>
          <w:sz w:val="32"/>
          <w:szCs w:val="32"/>
        </w:rPr>
        <w:t>6,908.76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，预决算差异率311.91%，差异主要原因是由于惠农补贴项目增多，补贴支出增加，预算未安排。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6,904.41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，与上年相比，增加5,135.77万元，增长290.38%，</w:t>
      </w:r>
      <w:r>
        <w:rPr>
          <w:rFonts w:hint="eastAsia" w:ascii="仿宋_GB2312" w:eastAsia="仿宋_GB2312"/>
          <w:sz w:val="32"/>
          <w:szCs w:val="32"/>
        </w:rPr>
        <w:t>减变化的主要原因是</w:t>
      </w:r>
      <w:r>
        <w:rPr>
          <w:rFonts w:ascii="仿宋_GB2312" w:eastAsia="仿宋_GB2312"/>
          <w:color w:val="000000" w:themeColor="text1"/>
          <w:sz w:val="32"/>
          <w:szCs w:val="32"/>
        </w:rPr>
        <w:t>：由于惠农补贴项目增多，补贴收入增加。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6,904.41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，与上年相比，增加5,135.77万元，增长290.38%，减变化的主要原因是：由于惠农补贴项目增多，补贴支出增加。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国土海洋气象等支出11.78万元,住房保障支出268.36万元,一般公共服务支出1,819.49万元,农林水支出3,926.56万元,公共安全支出307.37万元,文化体育与传媒支出39.74万元,其他支出321.38万元,社会保障和就业支出209.73万元。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工资福利支出1,628.91万元,商品和服务支出64.57万元,对个人和家庭的补助</w:t>
      </w:r>
      <w:r>
        <w:rPr>
          <w:rFonts w:hint="eastAsia" w:ascii="仿宋_GB2312" w:eastAsia="仿宋_GB2312"/>
          <w:sz w:val="32"/>
          <w:szCs w:val="32"/>
          <w:lang w:val="en-US" w:eastAsia="zh-CN"/>
        </w:rPr>
        <w:t>4433.58</w:t>
      </w:r>
      <w:r>
        <w:rPr>
          <w:rFonts w:hint="eastAsia" w:ascii="仿宋_GB2312" w:eastAsia="仿宋_GB2312"/>
          <w:sz w:val="32"/>
          <w:szCs w:val="32"/>
        </w:rPr>
        <w:t>万元资本性支出777.35万元。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1,677.26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6,904.41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，预决算差异率311.65%，差异主要原因是由于惠农补贴项目增多，补贴收入增加，预算未安排。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1,677.26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6,904.41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，预决算差异率311.65%，差异主要原因是由于惠农补贴项目增多，补贴支出增加，预算未安排。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4.35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，与上年相比，增加4.35万元，增长100%，增减的主要原因是：新增项目，预算未安排。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4.35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，与上年相比，增加4.35万元，增长100%，增减的主要原因是：新增项目，预算未安排。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，其他支出4.35万元。按经济分类科目（按类级科目公开），对个人和家庭的补助4.35万元。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4.35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4.35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。与上年相比，减少2,378万元，下降100%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1.88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，与上年相比减少1.97万元，降低51.17%，减少原因是严格按照八项规定的要求，压缩“三公”经费。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原因是：本单位无此项预算安排，也没有此项财政拨款支出；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1.88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100%，与上年相比减少1.97万元，降低51.17%，减少原因是：严格按照八项规定的要求，压缩公务用车运行维护费，减少公务用车运行维护费支出；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原因是：本单位无此项预算安排，也没有此项财政拨款支出。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新疆喀什地区英吉沙县乌恰镇人民政府</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本单位无此项预算安排，也没有此项财政拨款支出。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1.88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本单位无此项预算安排，也没有此项财政拨款支出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新疆喀什地区英吉沙县乌恰镇人民政府</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万元，决算数1.88万元</w:t>
      </w:r>
      <w:r>
        <w:rPr>
          <w:rFonts w:ascii="仿宋_GB2312" w:eastAsia="仿宋_GB2312"/>
          <w:color w:val="000000" w:themeColor="text1"/>
          <w:sz w:val="32"/>
          <w:szCs w:val="32"/>
        </w:rPr>
        <w:t>，预决算差异率-49.87%，差异主要原因是严格按照八项规定的要求，压缩“三公”经费。</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，预决算差异率0%，差异主要原因是本单位无此项预算安排，也没有此项财政拨款支出；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，预决算差异率-49.87%，差异主要原因是严格按照八项规定的要求，压缩公务用车运行维护费，减少公务用车运行维护费支出；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本单位无此项预算安排，也没有此项财政拨款支出。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2018年度新疆喀什地区英吉沙县乌恰镇人民政府机关运行经费支出32.46万元，</w:t>
      </w:r>
      <w:r>
        <w:rPr>
          <w:rFonts w:hint="eastAsia" w:ascii="仿宋_GB2312" w:eastAsia="仿宋_GB2312"/>
          <w:color w:val="000000" w:themeColor="text1"/>
          <w:sz w:val="32"/>
          <w:szCs w:val="32"/>
          <w:lang w:eastAsia="zh-CN"/>
        </w:rPr>
        <w:t>比</w:t>
      </w:r>
      <w:r>
        <w:rPr>
          <w:rFonts w:hint="eastAsia" w:ascii="仿宋_GB2312" w:eastAsia="仿宋_GB2312"/>
          <w:color w:val="000000" w:themeColor="text1"/>
          <w:sz w:val="32"/>
          <w:szCs w:val="32"/>
        </w:rPr>
        <w:t>上年增加5.31万元，增长19.56%，主要原因是：压缩日常公用经费，减少公用经费支出。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93.3</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93.3</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33.37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司法部门</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纪检部门</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计生指导宣传</w:t>
      </w:r>
      <w:r>
        <w:rPr>
          <w:rFonts w:hint="eastAsia" w:ascii="仿宋_GB2312" w:eastAsia="仿宋_GB2312"/>
          <w:color w:val="000000" w:themeColor="text1"/>
          <w:sz w:val="32"/>
          <w:szCs w:val="32"/>
          <w:lang w:eastAsia="zh-CN"/>
        </w:rPr>
        <w:t>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英吉沙县乌恰镇人民政府2018年度部门预算总额为7446.76万元，执行金额为7446.76万元，预算执行率为100%。本次自评共涉及项目数</w:t>
      </w:r>
      <w:r>
        <w:rPr>
          <w:rFonts w:hint="eastAsia" w:ascii="仿宋_GB2312" w:eastAsia="仿宋_GB2312"/>
          <w:sz w:val="32"/>
          <w:szCs w:val="32"/>
          <w:lang w:val="en-US" w:eastAsia="zh-CN"/>
        </w:rPr>
        <w:t>26</w:t>
      </w:r>
      <w:r>
        <w:rPr>
          <w:rFonts w:ascii="仿宋_GB2312" w:eastAsia="仿宋_GB2312"/>
          <w:sz w:val="32"/>
          <w:szCs w:val="32"/>
        </w:rPr>
        <w:t>个，其中已完成项目</w:t>
      </w:r>
      <w:r>
        <w:rPr>
          <w:rFonts w:hint="eastAsia" w:ascii="仿宋_GB2312" w:eastAsia="仿宋_GB2312"/>
          <w:sz w:val="32"/>
          <w:szCs w:val="32"/>
          <w:lang w:val="en-US" w:eastAsia="zh-CN"/>
        </w:rPr>
        <w:t>26</w:t>
      </w:r>
      <w:r>
        <w:rPr>
          <w:rFonts w:ascii="仿宋_GB2312" w:eastAsia="仿宋_GB2312"/>
          <w:sz w:val="32"/>
          <w:szCs w:val="32"/>
        </w:rPr>
        <w:t>个、未完成项目0个，项目总体完成率为100%</w:t>
      </w:r>
      <w:bookmarkStart w:id="92" w:name="_GoBack"/>
      <w:bookmarkEnd w:id="92"/>
      <w:r>
        <w:rPr>
          <w:rFonts w:ascii="仿宋_GB2312" w:eastAsia="仿宋_GB2312"/>
          <w:sz w:val="32"/>
          <w:szCs w:val="32"/>
        </w:rPr>
        <w:t>，各项目支出管理过程较为规范，预期绩效目标完成情况良好。通过本次自评全面总结了项目实施过程中的经验及不足，为2019年度预算绩效管理工作开展奠定基础。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残疾人无障碍改造补助项目绩效自评综述：根据年初设定的绩效目标，该项目绩效自评得分为96分。项目全年预算数为4.35万元，执行数为4.35万元，完成预算的100%。主要产出和效果：保证了全乡残疾人享受政府各项补助及关爱，受益范围为全乡符合条件的残疾人。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ascii="仿宋_GB2312" w:hAnsi="仿宋_GB2312" w:eastAsia="仿宋_GB2312" w:cs="仿宋_GB2312"/>
          <w:b w:val="0"/>
          <w:color w:val="000000"/>
          <w:sz w:val="32"/>
          <w:u w:val="none"/>
        </w:rPr>
        <w:t>2、2018年乡镇就业引导资金项目绩效自评综述：根据年初设定的绩效目标，该项目绩效自评得分为97分。项目全年预算数为738.35万元，执行数为738.35万元，完成预算的100%。主要产出和效果：通过引导有条件的贫困户进行就业，增加贫困户收入，促进相关贫困家庭和个人如期脱贫。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3、贫困户育苗补贴项目绩效自评综述：根据年初设定的绩效目标，该项目绩效自评得分为95分。项目全年预算数为17.39万元，执行数为17.39万元，完成预算的100%。主要产出和效果：该项目切实解决贫困户在春提早拱棚种植中遇到的困难，镇集中育苗免费发给贫困户、同时发放蔬菜苗补贴，降低了贫困户的投入成本，极大的提高了农民种植拱棚的积极性。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4、乌恰镇农村危房改造补助建设项目绩效自评综述：根据年初设定的绩效目标，该项目绩效自评得分为95分。项目全年预算数为163.11万元，执行数为163.11万元，完成预算的100%。主要产出和效果：为我镇29个村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通过乌恰镇农村危房建设项目执行情况，做好下一年工作经费执行预算，充分发挥农村危房建设在脱贫攻坚工作的重要作用。</w:t>
      </w:r>
    </w:p>
    <w:p>
      <w:pPr>
        <w:spacing w:line="540" w:lineRule="exact"/>
        <w:ind w:left="-1" w:right="-1" w:firstLine="646"/>
        <w:jc w:val="left"/>
      </w:pPr>
      <w:r>
        <w:rPr>
          <w:rFonts w:ascii="仿宋_GB2312" w:hAnsi="仿宋_GB2312" w:eastAsia="仿宋_GB2312" w:cs="仿宋_GB2312"/>
          <w:b w:val="0"/>
          <w:color w:val="000000"/>
          <w:sz w:val="32"/>
          <w:u w:val="none"/>
        </w:rPr>
        <w:t>5、津贴补贴项目绩效自评综述：根据年初设定的绩效目标，该项目绩效自评得分为90分。项目全年预算数为0.09万元，执行数为0.09万元，完成预算的100%。主要产出和效果：进一步充实乡村两级工作力量，提高干部队伍整体素质，按时对干部发放工资，以此提高干部的工作积极性，踏实认真的完成上级交办的每一项工作任务。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6、2018年贫困村整治项目绩效自评综述：根据年初设定的绩效目标，该项目绩效自评得分为90分。项目全年预算数为2.99万元，执行数为2.99万元，完成预算的99.99%。主要产出和效果：通过鼓励有林果业种植条件的贫困户，通过产业发展，带动就业脱贫，形成可持续的脱贫成效，增加社会总产出。发现的问题及原因：项目执行前期的规划及实施方案应该更加详细，综合考虑实际情况，使项目实施的更加顺畅，更加高效。下一步改进措施： 通过产业发展，带动就业脱贫，形成可持续的脱贫成效，增加社会总产出，做好下一年工作经费执行预算。</w:t>
      </w:r>
    </w:p>
    <w:p>
      <w:pPr>
        <w:spacing w:line="540" w:lineRule="exact"/>
        <w:ind w:left="-1" w:right="-1" w:firstLine="646"/>
        <w:jc w:val="left"/>
      </w:pPr>
      <w:r>
        <w:rPr>
          <w:rFonts w:ascii="仿宋_GB2312" w:hAnsi="仿宋_GB2312" w:eastAsia="仿宋_GB2312" w:cs="仿宋_GB2312"/>
          <w:b w:val="0"/>
          <w:color w:val="000000"/>
          <w:sz w:val="32"/>
          <w:u w:val="none"/>
        </w:rPr>
        <w:t>7、乌恰镇2018年</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棚圈建设项目绩效自评综述：根据年初设定的绩效目标，该项目绩效自评得分为92分。项目全年预算数为320.65万元，执行数为320.65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8、乌恰镇林果业资金项目绩效自评综述：根据年初设定的绩效目标，该项目绩效自评得分为96分。项目全年预算数为346.44万元，执行数为346.44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9、乌恰镇林果合作社建设项目绩效自评综述：根据年初设定的绩效目标，该项目绩效自评得分为93分。项目全年预算数为30万元，执行数为30万元，完成预算的100%。主要产出和效果：为合作社正常运转提供有效保障，提高合作社成员积极性，带动贫困户就业。发现的问题及原因：工作人员积极性不够，原因是业务量较少，产生的效益较差。下一步改进措施： 加强技能培训，提高经营管理能力。</w:t>
      </w:r>
    </w:p>
    <w:p>
      <w:pPr>
        <w:spacing w:line="540" w:lineRule="exact"/>
        <w:ind w:left="-1" w:right="-1" w:firstLine="646"/>
        <w:jc w:val="left"/>
      </w:pPr>
      <w:r>
        <w:rPr>
          <w:rFonts w:ascii="仿宋_GB2312" w:hAnsi="仿宋_GB2312" w:eastAsia="仿宋_GB2312" w:cs="仿宋_GB2312"/>
          <w:b w:val="0"/>
          <w:color w:val="000000"/>
          <w:sz w:val="32"/>
          <w:u w:val="none"/>
        </w:rPr>
        <w:t>10、乌恰镇民政帮扶项目绩效自评综述：根据年初设定的绩效目标，该项目绩效自评得分为95分。项目全年预算数为53.2万元，执行数为53.2万元，完成预算的100%。主要产出和效果：包括老人福利专项、残疾人专项资金、其他社会保障和就业支出等，有力地保障了全乡80岁以上老人、特困人员、残疾人等弱势群体能够享受政府各项补助及关爱，保障了残疾人基本生活需求，有利于完善社会保障事业、体现党的人文关怀、促进社会公平正义。发现的问题及原因：项目执行前期的规划及实施方案应该更加详细，综合考虑实际情况，使项目实施的更加顺畅，更加高效。下一步改进措施： 根据项目现实施情况，计划下一年度继续申请老人福利专项资金，以保证全镇社保工作正常开展。</w:t>
      </w:r>
    </w:p>
    <w:p>
      <w:pPr>
        <w:spacing w:line="540" w:lineRule="exact"/>
        <w:ind w:left="-1" w:right="-1" w:firstLine="646"/>
        <w:jc w:val="left"/>
      </w:pPr>
      <w:r>
        <w:rPr>
          <w:rFonts w:ascii="仿宋_GB2312" w:hAnsi="仿宋_GB2312" w:eastAsia="仿宋_GB2312" w:cs="仿宋_GB2312"/>
          <w:b w:val="0"/>
          <w:color w:val="000000"/>
          <w:sz w:val="32"/>
          <w:u w:val="none"/>
        </w:rPr>
        <w:t>11、乌恰镇庭院经济及庭院改造项目绩效自评综述：根据年初设定的绩效目标，该项目绩效自评得分为95分。项目全年预算数为1,261.6万元，执行数为1,261.6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12、乌恰镇文化体系建设项目绩效自评综述：根据年初设定的绩效目标，该项目绩效自评得分为95分。项目全年预算数为2万元，执行数为2万元，完成预算的100%。主要产出和效果：4村和5村的专项资金，通过对两个村文化体系建设，加强基层文化体系建设，增强村级文化氛围。发现的问题及原因：项目执行前期的规划及实施方案应该更加详细，综合考虑实际情况，使项目实施的更加顺畅，更加高效。下一步改进措施： 做好下一年工作经费执行预算，充分发挥文化经费在加强基层文化体系建设，增强村级文化氛围重要作用。</w:t>
      </w:r>
    </w:p>
    <w:p>
      <w:pPr>
        <w:spacing w:line="540" w:lineRule="exact"/>
        <w:ind w:left="-1" w:right="-1" w:firstLine="646"/>
        <w:jc w:val="left"/>
      </w:pPr>
      <w:r>
        <w:rPr>
          <w:rFonts w:ascii="仿宋_GB2312" w:hAnsi="仿宋_GB2312" w:eastAsia="仿宋_GB2312" w:cs="仿宋_GB2312"/>
          <w:b w:val="0"/>
          <w:color w:val="000000"/>
          <w:sz w:val="32"/>
          <w:u w:val="none"/>
        </w:rPr>
        <w:t>13、乌恰镇基础设施建设项目绩效自评综述：根据年初设定的绩效目标，该项目绩效自评得分为96分。项目全年预算数为2,378万元，执行数为2,378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乌恰镇乡村振兴示范试点村项目绩效自评综述：根据年初设定的绩效目标，该项目绩效自评得分为95分。项目全年预算数为34.99万元，执行数为34.99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乌恰镇农村小商铺项目绩效自评综述：根据年初设定的绩效目标，该项目绩效自评得分为97分。项目全年预算数为45万元，执行数为45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城乡居民基本养老保险项目绩效自评综述：根据年初设定的绩效目标，该项目绩效自评得分为93分。项目全年预算数为9.86万元，执行数为9.86万元，完成预算的100%。主要产出和效果：该项目资金我乡主要使用在为乌恰镇2017年末16岁至60岁缴纳养老保险的未脱贫人口中，去除已享受政府代缴政策的残疾人、低保户、已缴职工社保人员的这部分贫困人口补助养老保险每人30元。总体上，较好的实现了项目的战略目标和工作目标，自评为优秀。发现的问题及原因：要做好前期基础工作，确保资金使用精准。下一步改进措施： 要进一步提升群众缴纳养老保险的积极性，减轻未脱贫贫困户家庭的负担，激发贫困户内生动力。</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7</w:t>
      </w:r>
      <w:r>
        <w:rPr>
          <w:rFonts w:ascii="仿宋_GB2312" w:hAnsi="仿宋_GB2312" w:eastAsia="仿宋_GB2312" w:cs="仿宋_GB2312"/>
          <w:b w:val="0"/>
          <w:color w:val="000000"/>
          <w:sz w:val="32"/>
          <w:u w:val="none"/>
        </w:rPr>
        <w:t>、乌恰镇国旗杆安装项目绩效自评综述：根据年初设定的绩效目标，该项目绩效自评得分为95分。项目全年预算数为5.2万元，执行数为5.2万元，完成预算的100%。主要产出和效果：通过安装国旗杆项目，增强爱国情怀，促进民族团结。发现的问题及原因：无。下一步改进措施： 通过乌恰镇国旗杆安装项目执行情况，做好下一年专项经费执行预算，充分发挥专项经费在民族团结和爱国主义教育方面的重要作用。</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18</w:t>
      </w:r>
      <w:r>
        <w:rPr>
          <w:rFonts w:ascii="仿宋_GB2312" w:hAnsi="仿宋_GB2312" w:eastAsia="仿宋_GB2312" w:cs="仿宋_GB2312"/>
          <w:b w:val="0"/>
          <w:color w:val="000000"/>
          <w:sz w:val="32"/>
          <w:u w:val="none"/>
        </w:rPr>
        <w:t>、乌恰镇商铺债券资金项目绩效自评综述：根据年初设定的绩效目标，该项目绩效自评得分为95分。项目全年预算数为495万元，执行数为495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19</w:t>
      </w:r>
      <w:r>
        <w:rPr>
          <w:rFonts w:ascii="仿宋_GB2312" w:hAnsi="仿宋_GB2312" w:eastAsia="仿宋_GB2312" w:cs="仿宋_GB2312"/>
          <w:b w:val="0"/>
          <w:color w:val="000000"/>
          <w:sz w:val="32"/>
          <w:u w:val="none"/>
        </w:rPr>
        <w:t>、大学生村干部工资项目绩效自评综述：根据年初设定的绩效目标，该项目绩效自评得分为96分。项目全年预算数为26.1万元，执行数为26.1万元，完成预算的100%。主要产出和效果：通过配齐全乡大学生村官数量，有助于加强</w:t>
      </w:r>
      <w:r>
        <w:rPr>
          <w:rFonts w:hint="eastAsia" w:ascii="仿宋_GB2312" w:hAnsi="仿宋_GB2312" w:eastAsia="仿宋_GB2312" w:cs="仿宋_GB2312"/>
          <w:b w:val="0"/>
          <w:color w:val="000000"/>
          <w:sz w:val="32"/>
          <w:u w:val="none"/>
          <w:lang w:eastAsia="zh-CN"/>
        </w:rPr>
        <w:t>普通话</w:t>
      </w:r>
      <w:r>
        <w:rPr>
          <w:rFonts w:ascii="仿宋_GB2312" w:hAnsi="仿宋_GB2312" w:eastAsia="仿宋_GB2312" w:cs="仿宋_GB2312"/>
          <w:b w:val="0"/>
          <w:color w:val="000000"/>
          <w:sz w:val="32"/>
          <w:u w:val="none"/>
        </w:rPr>
        <w:t>学习，提高工作能力。发现的问题及原因：无存在的问题。下一步改进措施：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20</w:t>
      </w:r>
      <w:r>
        <w:rPr>
          <w:rFonts w:ascii="仿宋_GB2312" w:hAnsi="仿宋_GB2312" w:eastAsia="仿宋_GB2312" w:cs="仿宋_GB2312"/>
          <w:b w:val="0"/>
          <w:color w:val="000000"/>
          <w:sz w:val="32"/>
          <w:u w:val="none"/>
        </w:rPr>
        <w:t>、乌恰镇便民超市涉农整合项目绩效自评综述：根据年初设定的绩效目标，该项目绩效自评得分为95分。项目全年预算数为14.25万元，执行数为14.25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21</w:t>
      </w:r>
      <w:r>
        <w:rPr>
          <w:rFonts w:ascii="仿宋_GB2312" w:hAnsi="仿宋_GB2312" w:eastAsia="仿宋_GB2312" w:cs="仿宋_GB2312"/>
          <w:b w:val="0"/>
          <w:color w:val="000000"/>
          <w:sz w:val="32"/>
          <w:u w:val="none"/>
        </w:rPr>
        <w:t>、庭院经济及庭院改造项目绩效自评综述：根据年初设定的绩效目标，该项目绩效自评得分为95分。项目全年预算数为233万元，执行数为233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林果合作社建设项目绩效自评综述：根据年初设定的绩效目标，该项目绩效自评得分为95分。项目全年预算数为119万元，执行数为119万元，完成预算的100%。主要产出和效果：为合作社正常运转提供有效保障，提高合作社成员积极性，带动贫困户就业。发现的问题及原因：工作人员积极性不够，原因是业务量较少，产生的效益较差。下一步改进措施： 加强技能培训，提高经营管理能力。</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2018年工作经费项目绩效自评综述：根据年初设定的绩效目标，该项目绩效自评得分为95分。项目全年预算数为29.53万元，执行数为29.53万元，完成预算的100%。主要产出和效果：一般行政管理事务工作经费。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2018年贫困户自主创业补助项目绩效自评综述：根据年初设定的绩效目标，该项目绩效自评得分为95分。项目全年预算数为377万元，执行数为377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2018年美容美发补助项目绩效自评综述：根据年初设定的绩效目标，该项目绩效自评得分为93分。项目全年预算数为29万元，执行数为29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numPr>
          <w:ilvl w:val="0"/>
          <w:numId w:val="1"/>
        </w:numPr>
        <w:spacing w:line="540" w:lineRule="exact"/>
        <w:ind w:left="-1" w:right="-1" w:firstLine="646"/>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小型农田水利补助项目绩效自评综述：根据年初设定的绩效目标，该项目绩效自评得分为96分。项目全年预算数为25万元，执行数为25万元，完成预算的100%。主要产出和效果：可完善村基础设施建设，可提供给农户使用，可带动农户增收，为群众生活提供便利条件，提高农村基层公共服务水平。发现的问题及原因：尚未发现问题。下一步改进措施： 进一步完善工作机制，更好的为人民服务。</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213（类）03（款）16（项）指：农田水利。208（类）99（款）01（项）指：其他社会保障和就业支出。208（类）05（款）05（项）指：机关事业单位基本养老保险缴费支出。201（类）03（款）02（项）指：一般行政管理事务。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213（类）02（款）04（项）指：林业事业机构。213（类）01（款）04（项）指：事业运行。213（类）05（款）05（项）指：生产发展。213（类）05（款）06（项）指：社会发展。221（类）01（款）05（项）指：农村危房改造。221（类）02（款）01（项）指：住房公积金。213（类）05（款）04（项）指：农村基础设施建设。204（类）02（款）01（项）指：行政运行。213（类）01（款）24（项）指：农业组织化与产业化经营。204（类）06（款）01（项）指：行政运行。204（类）02（款）04（项）指：治安管理。208（类）02（款）02（项）指：一般行政管理事务。208（类）11（款）99（项）指：其他残疾人事业支出。220（类）01（款）01（项）指：行政运行。220（类）01（款）02（项）指：一般行政管理事务。201（类）31（款）01（项）指：行政运行。207（类）99（款）99（项）指：其他文化体育与传媒支出。207（类）04（款）04（项）指：广播。207（类）01（款）09（项）指：群众文化。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rPr>
      </w:pPr>
      <w:r>
        <w:rPr>
          <w:rFonts w:hint="eastAsia" w:ascii="仿宋_GB2312" w:eastAsia="仿宋_GB2312"/>
          <w:sz w:val="32"/>
          <w:szCs w:val="32"/>
        </w:rPr>
        <w:t>英吉沙县</w:t>
      </w:r>
      <w:r>
        <w:rPr>
          <w:rFonts w:hint="eastAsia" w:ascii="仿宋_GB2312" w:eastAsia="仿宋_GB2312"/>
          <w:sz w:val="32"/>
          <w:szCs w:val="32"/>
          <w:lang w:eastAsia="zh-CN"/>
        </w:rPr>
        <w:t>乌恰镇</w:t>
      </w:r>
      <w:r>
        <w:rPr>
          <w:rFonts w:hint="eastAsia" w:ascii="仿宋_GB2312" w:eastAsia="仿宋_GB2312"/>
          <w:sz w:val="32"/>
          <w:szCs w:val="32"/>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2DBD08"/>
    <w:multiLevelType w:val="singleLevel"/>
    <w:tmpl w:val="742DBD08"/>
    <w:lvl w:ilvl="0" w:tentative="0">
      <w:start w:val="2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A66578"/>
    <w:rsid w:val="04DB02C7"/>
    <w:rsid w:val="06754392"/>
    <w:rsid w:val="06B856EE"/>
    <w:rsid w:val="06D50B09"/>
    <w:rsid w:val="07FE5938"/>
    <w:rsid w:val="084604BC"/>
    <w:rsid w:val="08751701"/>
    <w:rsid w:val="08883825"/>
    <w:rsid w:val="09725983"/>
    <w:rsid w:val="0A382BB5"/>
    <w:rsid w:val="0AA4543A"/>
    <w:rsid w:val="0BE61132"/>
    <w:rsid w:val="0C9B0DD6"/>
    <w:rsid w:val="0CE4791C"/>
    <w:rsid w:val="0E063C64"/>
    <w:rsid w:val="0EA25C30"/>
    <w:rsid w:val="0F4C7B96"/>
    <w:rsid w:val="0FFB575E"/>
    <w:rsid w:val="10845F1B"/>
    <w:rsid w:val="11463A00"/>
    <w:rsid w:val="11600918"/>
    <w:rsid w:val="11B0398F"/>
    <w:rsid w:val="11B50948"/>
    <w:rsid w:val="132F384B"/>
    <w:rsid w:val="13B960C5"/>
    <w:rsid w:val="150B17D7"/>
    <w:rsid w:val="152777F4"/>
    <w:rsid w:val="156953D9"/>
    <w:rsid w:val="15C674B6"/>
    <w:rsid w:val="18D54A0D"/>
    <w:rsid w:val="19E90A96"/>
    <w:rsid w:val="1A4106A0"/>
    <w:rsid w:val="1A4F5437"/>
    <w:rsid w:val="1AB77CD0"/>
    <w:rsid w:val="1ACE7A63"/>
    <w:rsid w:val="1AD43720"/>
    <w:rsid w:val="1C2D21FA"/>
    <w:rsid w:val="1CB908AC"/>
    <w:rsid w:val="1E807156"/>
    <w:rsid w:val="1EA657F6"/>
    <w:rsid w:val="1F097CB6"/>
    <w:rsid w:val="20602703"/>
    <w:rsid w:val="2166156B"/>
    <w:rsid w:val="21B02D83"/>
    <w:rsid w:val="22A236F5"/>
    <w:rsid w:val="22D10261"/>
    <w:rsid w:val="23995975"/>
    <w:rsid w:val="24057F7B"/>
    <w:rsid w:val="2432220E"/>
    <w:rsid w:val="248303BA"/>
    <w:rsid w:val="24837E47"/>
    <w:rsid w:val="252E01AA"/>
    <w:rsid w:val="2680023E"/>
    <w:rsid w:val="29680352"/>
    <w:rsid w:val="2A020F75"/>
    <w:rsid w:val="2B007AEE"/>
    <w:rsid w:val="2BC14C56"/>
    <w:rsid w:val="2C1B026F"/>
    <w:rsid w:val="2C1E655D"/>
    <w:rsid w:val="2C9808DC"/>
    <w:rsid w:val="2CC61F55"/>
    <w:rsid w:val="2EF7452F"/>
    <w:rsid w:val="2F0B3F80"/>
    <w:rsid w:val="2F1D13B4"/>
    <w:rsid w:val="2FAA3DA6"/>
    <w:rsid w:val="30682E1F"/>
    <w:rsid w:val="30E210D2"/>
    <w:rsid w:val="311371D6"/>
    <w:rsid w:val="31EB64C9"/>
    <w:rsid w:val="336D0D6F"/>
    <w:rsid w:val="352E4BEC"/>
    <w:rsid w:val="359A732E"/>
    <w:rsid w:val="37DD5594"/>
    <w:rsid w:val="38F24FA8"/>
    <w:rsid w:val="3A98342A"/>
    <w:rsid w:val="3AB6780E"/>
    <w:rsid w:val="3AD56D70"/>
    <w:rsid w:val="3B2920C2"/>
    <w:rsid w:val="3B4714B0"/>
    <w:rsid w:val="3BE41ABD"/>
    <w:rsid w:val="3C5421A9"/>
    <w:rsid w:val="3D903B21"/>
    <w:rsid w:val="3F440741"/>
    <w:rsid w:val="3F6B276A"/>
    <w:rsid w:val="3FC0236B"/>
    <w:rsid w:val="41FC306C"/>
    <w:rsid w:val="44BE5554"/>
    <w:rsid w:val="451E0908"/>
    <w:rsid w:val="452C2D31"/>
    <w:rsid w:val="45D26E14"/>
    <w:rsid w:val="46A541B1"/>
    <w:rsid w:val="48C57772"/>
    <w:rsid w:val="49782886"/>
    <w:rsid w:val="4A6F0D28"/>
    <w:rsid w:val="4AAF085C"/>
    <w:rsid w:val="4AEB7E60"/>
    <w:rsid w:val="4B13298E"/>
    <w:rsid w:val="4B4B135B"/>
    <w:rsid w:val="4BB1596B"/>
    <w:rsid w:val="4BC7055F"/>
    <w:rsid w:val="4CFC7DB2"/>
    <w:rsid w:val="4E7C187D"/>
    <w:rsid w:val="508941AD"/>
    <w:rsid w:val="50E65530"/>
    <w:rsid w:val="51457139"/>
    <w:rsid w:val="51574DBD"/>
    <w:rsid w:val="51EC1DA8"/>
    <w:rsid w:val="52FC5524"/>
    <w:rsid w:val="532D7A17"/>
    <w:rsid w:val="5396344D"/>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3262B7"/>
    <w:rsid w:val="639D5792"/>
    <w:rsid w:val="63AA02E5"/>
    <w:rsid w:val="64700DE9"/>
    <w:rsid w:val="65523F7B"/>
    <w:rsid w:val="65C613BD"/>
    <w:rsid w:val="65F4748F"/>
    <w:rsid w:val="65FD118C"/>
    <w:rsid w:val="682C3D89"/>
    <w:rsid w:val="68611305"/>
    <w:rsid w:val="6A162DE0"/>
    <w:rsid w:val="6A331428"/>
    <w:rsid w:val="6B2E5CB6"/>
    <w:rsid w:val="6B3D4886"/>
    <w:rsid w:val="6DF8675E"/>
    <w:rsid w:val="6EA80098"/>
    <w:rsid w:val="6EDE5084"/>
    <w:rsid w:val="6F8D70FF"/>
    <w:rsid w:val="6FFE5011"/>
    <w:rsid w:val="7178734D"/>
    <w:rsid w:val="71791096"/>
    <w:rsid w:val="717B0C34"/>
    <w:rsid w:val="71FB78FD"/>
    <w:rsid w:val="7275064A"/>
    <w:rsid w:val="733F750B"/>
    <w:rsid w:val="735702E2"/>
    <w:rsid w:val="765F635A"/>
    <w:rsid w:val="76B73454"/>
    <w:rsid w:val="76D254BD"/>
    <w:rsid w:val="77727ACD"/>
    <w:rsid w:val="77872B55"/>
    <w:rsid w:val="78071142"/>
    <w:rsid w:val="78106A50"/>
    <w:rsid w:val="79296B37"/>
    <w:rsid w:val="7A4C4C40"/>
    <w:rsid w:val="7AA0518E"/>
    <w:rsid w:val="7B041636"/>
    <w:rsid w:val="7BBA0EBA"/>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2021-07-13T14:13:15Z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